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965960" cy="595905"/>
            <wp:docPr id="1" name="Picture 1" descr="Frontiers Simulations exact logo"/>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965960" cy="595905"/>
                    </a:xfrm>
                    <a:prstGeom prst="rect"/>
                  </pic:spPr>
                </pic:pic>
              </a:graphicData>
            </a:graphic>
          </wp:inline>
        </w:drawing>
      </w:r>
    </w:p>
    <w:p>
      <w:pPr>
        <w:pStyle w:val="Title"/>
      </w:pPr>
      <w:r>
        <w:t>The Persuasion Hearing Student Worksheet</w:t>
      </w:r>
    </w:p>
    <w:p>
      <w:r>
        <w:t>Created by Yoav Duman</w:t>
      </w:r>
    </w:p>
    <w:p>
      <w:r>
        <w:t>No advance reading is needed. Read the explanations inside the simulation, then use this worksheet for your study notes, evidence, calculations and decisions. Journal articles are optional. Continue in the player for later records and activities. Leave missing evidence visibly unknown.</w:t>
      </w:r>
    </w:p>
    <w:p>
      <w:r>
        <w:t>Name or group ____________________    Date ____________________</w:t>
      </w:r>
    </w:p>
    <w:p>
      <w:pPr>
        <w:pStyle w:val="Heading1"/>
      </w:pPr>
      <w:r>
        <w:t>Source A</w:t>
      </w:r>
    </w:p>
    <w:p>
      <w:r>
        <w:t>Use the Article A explanation here; no journal reading is required.</w:t>
        <w:br/>
        <w:t>1. Describe the four conditions: human or AI, each with or without demographic information.</w:t>
        <w:br/>
        <w:t>2. Which comparison changes only access to a profile? Which also changes whether the opponent is human or AI? What agreement response was measured, among whom?</w:t>
        <w:br/>
        <w:t>3. What does the correction change, and which positive comparison remains? Use relative odds as the unit, not a percentage of people persuaded. Exact statistics need not be memorized.</w:t>
        <w:br/>
        <w:t>4. Name a limit and explain why uncertainty about persuasion does not settle every privacy question.</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Source B</w:t>
      </w:r>
    </w:p>
    <w:p>
      <w:r>
        <w:t>Use the Article B explanation here; no journal reading is required.</w:t>
        <w:br/>
        <w:t>1. Choose one training or instruction comparison. What changed, among whom, and what response was measured?</w:t>
        <w:br/>
        <w:t>2. Explain a finding and a limit. Several features of a message can change together, so a package effect does not identify which feature did the work.</w:t>
        <w:br/>
        <w:t>3. How does the separate accuracy or fabrication finding help you avoid an unsupported explanation?</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1"/>
      </w:pPr>
      <w:r>
        <w:t>Comparison of the studies</w:t>
      </w:r>
    </w:p>
    <w:p>
      <w:r>
        <w:t>Use the two article explanations here; no journal reading is required.</w:t>
        <w:br/>
        <w:t>1. Explain how the first study’s uncertain added-profile result and the second study’s small positive personalization result could both occur. Compare what changed, who took part, and what was measured.</w:t>
        <w:br/>
        <w:t>2. What does using both studies change in your claim about personalization or your proposed audit?</w:t>
        <w:br/>
        <w:t>3. Which numbers use different units and should not be subtracted? What direct comparison and uncertainty information would make your next claim stronger?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Your first explanation</w:t>
      </w:r>
    </w:p>
    <w:p>
      <w:pPr>
        <w:pStyle w:val="Heading2"/>
      </w:pPr>
      <w:r>
        <w:t>Your explanation</w:t>
      </w:r>
    </w:p>
    <w:p>
      <w:r>
        <w:t>Who acts, what do they do, and how could that produce the result? Separate details in the records from links you are proposing.</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Another explanation for the same result</w:t>
      </w:r>
    </w:p>
    <w:p>
      <w:r>
        <w:t>What else could produce the same result? Explain what that account predicts and whether both explanations could contribute.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Your prediction</w:t>
      </w:r>
    </w:p>
    <w:p>
      <w:r>
        <w:t>Which next record or comparison could help you tell the two explanations apart? Say what you expect under each and what must be alike for the comparison to be fair.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Graph and evidence notes</w:t>
      </w:r>
    </w:p>
    <w:p>
      <w:r>
        <w:t>Read the graph or table. Before calculating, identify what is measured, who is counted and the dates. Keep what the records show separate from your explanation of why it happened.</w:t>
      </w:r>
    </w:p>
    <w:tbl>
      <w:tblPr>
        <w:tblW w:type="auto" w:w="0"/>
        <w:jc w:val="center"/>
        <w:tblLayout w:type="fixed"/>
        <w:tblLook w:firstColumn="1" w:firstRow="1" w:lastColumn="0" w:lastRow="0" w:noHBand="0" w:noVBand="1" w:val="04A0"/>
      </w:tblPr>
      <w:tblGrid>
        <w:gridCol w:w="3384"/>
        <w:gridCol w:w="5976"/>
      </w:tblGrid>
      <w:tr>
        <w:trPr>
          <w:tblHeader/>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E6EDF5"/>
            <w:tcMar>
              <w:top w:w="100" w:type="dxa"/>
              <w:left w:w="100" w:type="dxa"/>
              <w:bottom w:w="100" w:type="dxa"/>
              <w:right w:w="100" w:type="dxa"/>
            </w:tcMar>
          </w:tcPr>
          <w:p>
            <w:pPr>
              <w:spacing w:after="60"/>
            </w:pPr>
            <w:r>
              <w:t>Element to identify</w:t>
            </w:r>
          </w:p>
        </w:tc>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E6EDF5"/>
            <w:tcMar>
              <w:top w:w="100" w:type="dxa"/>
              <w:left w:w="100" w:type="dxa"/>
              <w:bottom w:w="100" w:type="dxa"/>
              <w:right w:w="100" w:type="dxa"/>
            </w:tcMar>
          </w:tcPr>
          <w:p>
            <w:pPr>
              <w:spacing w:after="60"/>
            </w:pPr>
            <w:r>
              <w:t>Your record</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Question and measured outcome</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Who or what each record describes</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Dates or observation window</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Number counted and whole group for a percentage</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Weight or comparison group</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Axis label and unit</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Who is missing or included selectively</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What must be alike for a fair comparison</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bl>
    <w:p>
      <w:pPr>
        <w:pStyle w:val="Heading2"/>
      </w:pPr>
      <w:r>
        <w:t>Your calculation and labeled graph or table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the result means and what evidence you still need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Your decision</w:t>
      </w:r>
    </w:p>
    <w:p>
      <w:r>
        <w:t>1. Choose one package or a costed adaptation within 120 hours.</w:t>
        <w:br/>
        <w:t>2. State hours, the democratic value, whose conduct changes, the exact license/pass condition, enforcement sequence and independent complaint route.</w:t>
        <w:br/>
        <w:t>3. Distinguish official information duties from disclosed advocacy under the factual/privacy floor; identify who benefits, a burden on a legitimate use and the strongest objection.</w:t>
        <w:br/>
        <w:t>4. Explain how both nonbot information and usable complaint access remain available.</w:t>
        <w:br/>
        <w:t>5. Several choices can earn full credit.</w:t>
      </w:r>
    </w:p>
    <w:p>
      <w:pPr>
        <w:pStyle w:val="Heading2"/>
      </w:pPr>
      <w:r>
        <w:t>Your choice who can act and what it costs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Your reasons an alternative and when you would reconsider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Try your explanation in a new case</w:t>
      </w:r>
    </w:p>
    <w:p>
      <w:r>
        <w:t>Complete these notes before opening the unfamiliar dossier later record. Work from the initial records you have received; do not invent a motive, consequence or missing datum.</w:t>
      </w:r>
    </w:p>
    <w:p>
      <w:pPr>
        <w:pStyle w:val="Heading2"/>
      </w:pPr>
      <w:r>
        <w:t>Mechanism</w:t>
      </w:r>
    </w:p>
    <w:p>
      <w:r>
        <w:t>Explain who acts, which rules or powers they use, and how that could produce the result in this new case. Use the relevant dates and protections.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Another explanation for the same result</w:t>
      </w:r>
    </w:p>
    <w:p>
      <w:r>
        <w:t>Give another plausible explanation for that same result. Which step or timing would differ? What evidence would you need?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Evidence that would distinguish the explanations</w:t>
      </w:r>
    </w:p>
    <w:p>
      <w:r>
        <w:t>Propose evidence that could distinguish your explanations. What would each lead you to expect? Name the people or records, dates, what must be comparable, one possible problem with selecting cases, and a right you must preserve.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Revision and reflection</w:t>
      </w:r>
    </w:p>
    <w:p>
      <w:pPr>
        <w:pStyle w:val="Heading2"/>
      </w:pPr>
      <w:r>
        <w:t>Which earlier conclusion do you now keep narrow change or leave undecided and why</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does the evidence show and what is still only a possible consequence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remains uncertain and which fair comparison could help you decide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Save and submit separately</w:t>
      </w:r>
    </w:p>
    <w:p>
      <w:r>
        <w:t>Use Print / save as PDF or the brief text export to create the record your instructor requests. Check that it includes your source notes, audit rows, decision, numerical work, unfamiliar-case revision and final reflection. Upload that file to the separate Canvas assignment and complete Canvas’s submission action. Keep the progress JSON as a backup; submit it only if requested. The app’s completion flag and local save do not submit work to Canvas.</w:t>
      </w:r>
    </w:p>
    <w:p>
      <w:r>
        <w:t>Keep the progress JSON as an editable backup. A device save, an optional private online draft and a consented hosted-class snapshot are different records.</w:t>
      </w:r>
    </w:p>
    <w:sectPr w:rsidR="00FC693F" w:rsidRPr="0006063C" w:rsidSect="00034616">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drawing>
        <wp:inline xmlns:a="http://schemas.openxmlformats.org/drawingml/2006/main" xmlns:pic="http://schemas.openxmlformats.org/drawingml/2006/picture">
          <wp:extent cx="1005840" cy="304882"/>
          <wp:docPr id="1" name="Picture 1" descr="Frontiers Simulations exact monochrome logo"/>
          <wp:cNvGraphicFramePr>
            <a:graphicFrameLocks noChangeAspect="1"/>
          </wp:cNvGraphicFramePr>
          <a:graphic>
            <a:graphicData uri="http://schemas.openxmlformats.org/drawingml/2006/picture">
              <pic:pic>
                <pic:nvPicPr>
                  <pic:cNvPr id="0" name="logo-monochrome.png"/>
                  <pic:cNvPicPr/>
                </pic:nvPicPr>
                <pic:blipFill>
                  <a:blip r:embed="rId1"/>
                  <a:stretch>
                    <a:fillRect/>
                  </a:stretch>
                </pic:blipFill>
                <pic:spPr>
                  <a:xfrm>
                    <a:off x="0" y="0"/>
                    <a:ext cx="1005840" cy="304882"/>
                  </a:xfrm>
                  <a:prstGeom prst="rect"/>
                </pic:spPr>
              </pic:pic>
            </a:graphicData>
          </a:graphic>
        </wp:inline>
      </w:drawing>
    </w:r>
    <w:r>
      <w:rPr>
        <w:sz w:val="16"/>
      </w:rPr>
      <w:t xml:space="preserve">    Created by Yoav Duman    </w:t>
    </w:r>
    <w:r>
      <w:rPr>
        <w:sz w:val="16"/>
      </w:rPr>
      <w:drawing>
        <wp:inline xmlns:a="http://schemas.openxmlformats.org/drawingml/2006/main" xmlns:pic="http://schemas.openxmlformats.org/drawingml/2006/picture">
          <wp:extent cx="228600" cy="228600"/>
          <wp:docPr id="2" name="Picture 2" descr="Frontiers Simulations exact monogram"/>
          <wp:cNvGraphicFramePr>
            <a:graphicFrameLocks noChangeAspect="1"/>
          </wp:cNvGraphicFramePr>
          <a:graphic>
            <a:graphicData uri="http://schemas.openxmlformats.org/drawingml/2006/picture">
              <pic:pic>
                <pic:nvPicPr>
                  <pic:cNvPr id="0" name="mark.png"/>
                  <pic:cNvPicPr/>
                </pic:nvPicPr>
                <pic:blipFill>
                  <a:blip r:embed="rId2"/>
                  <a:stretch>
                    <a:fillRect/>
                  </a:stretch>
                </pic:blipFill>
                <pic:spPr>
                  <a:xfrm>
                    <a:off x="0" y="0"/>
                    <a:ext cx="228600" cy="228600"/>
                  </a:xfrm>
                  <a:prstGeom prst="rect"/>
                </pic:spPr>
              </pic:pic>
            </a:graphicData>
          </a:graphic>
        </wp:inline>
      </w:drawing>
    </w:r>
    <w:r>
      <w:rPr>
        <w:sz w:val="16"/>
      </w:rP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DejaVu Sans" w:hAnsi="DejaVu Sans"/>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76" w:lineRule="auto"/>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line="276" w:lineRule="auto"/>
      <w:outlineLvl w:val="1"/>
    </w:pPr>
    <w:rPr>
      <w:rFonts w:asciiTheme="majorHAnsi" w:eastAsiaTheme="majorEastAsia" w:hAnsiTheme="majorHAnsi" w:cstheme="majorBidi" w:ascii="DejaVu Sans" w:hAnsi="DejaVu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160" w:line="276" w:lineRule="auto"/>
      <w:outlineLvl w:val="2"/>
    </w:pPr>
    <w:rPr>
      <w:rFonts w:asciiTheme="majorHAnsi" w:eastAsiaTheme="majorEastAsia" w:hAnsiTheme="majorHAnsi" w:cstheme="majorBidi" w:ascii="DejaVu Sans" w:hAnsi="DejaVu Sans"/>
      <w:b/>
      <w:bCs/>
      <w:color w:val="00000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76" w:lineRule="auto" w:before="0"/>
      <w:contextualSpacing/>
    </w:pPr>
    <w:rPr>
      <w:rFonts w:asciiTheme="majorHAnsi" w:eastAsiaTheme="majorEastAsia" w:hAnsiTheme="majorHAnsi" w:cstheme="majorBidi" w:ascii="DejaVu Sans" w:hAnsi="DejaVu San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76" w:lineRule="auto"/>
    </w:pPr>
    <w:rPr>
      <w:rFonts w:asciiTheme="majorHAnsi" w:eastAsiaTheme="majorEastAsia" w:hAnsiTheme="majorHAnsi" w:cstheme="majorBidi" w:ascii="DejaVu Sans" w:hAnsi="DejaVu Sans"/>
      <w:i/>
      <w:iCs/>
      <w:color w:val="000000"/>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Persuasion Hearing Student Worksheet</dc:title>
  <dc:subject>Editable source evidence and revision notes</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