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965960" cy="595905"/>
            <wp:docPr id="1" name="Picture 1" descr="Frontiers Simulations exact logo"/>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965960" cy="595905"/>
                    </a:xfrm>
                    <a:prstGeom prst="rect"/>
                  </pic:spPr>
                </pic:pic>
              </a:graphicData>
            </a:graphic>
          </wp:inline>
        </w:drawing>
      </w:r>
    </w:p>
    <w:p>
      <w:pPr>
        <w:pStyle w:val="Title"/>
      </w:pPr>
      <w:r>
        <w:t>Everyone Says Democracy Student Worksheet</w:t>
      </w:r>
    </w:p>
    <w:p>
      <w:r>
        <w:t>Created by Yoav Duman</w:t>
      </w:r>
    </w:p>
    <w:p>
      <w:r>
        <w:t>No advance reading is needed. Read the explanations inside the simulation, then use this worksheet for your study notes, evidence, calculations and decisions. Journal articles are optional. Continue in the player for later records and activities. Leave missing evidence visibly unknown.</w:t>
      </w:r>
    </w:p>
    <w:p>
      <w:r>
        <w:t>Name or group ____________________    Date ____________________</w:t>
      </w:r>
    </w:p>
    <w:p>
      <w:pPr>
        <w:pStyle w:val="Heading1"/>
      </w:pPr>
      <w:r>
        <w:t>Source A</w:t>
      </w:r>
    </w:p>
    <w:p>
      <w:r>
        <w:t>Use the Article A explanation here; no journal reading is required.</w:t>
        <w:br/>
        <w:t>1. Name one democratic protection the survey measures. How did the researchers check whether answers fit together?</w:t>
        <w:br/>
        <w:t>2. What improved when the survey was shortened, and which part was left out? Consistency and including all important parts are separate questions.</w:t>
        <w:br/>
        <w:t>3. Why does a useful local score not automatically allow a fair ranking of countries? Use the explanation, keeping Bellmere separate.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Source B</w:t>
      </w:r>
    </w:p>
    <w:p>
      <w:r>
        <w:t>Use the Article B explanation here; no journal reading is required.</w:t>
        <w:br/>
        <w:t>1. What candidate features were changed at random? Which beliefs about democracy were measured instead?</w:t>
        <w:br/>
        <w:t>2. Explain the broad idea that everyone prefers candidates matching their views. Compare it with the actual findings about judicial appointments and public media.</w:t>
        <w:br/>
        <w:t>3. How can the broad idea fail while a narrower relationship remains? State one limit of this Polish study of hypothetical choices.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1"/>
      </w:pPr>
      <w:r>
        <w:t>Comparison of the studies</w:t>
      </w:r>
    </w:p>
    <w:p>
      <w:r>
        <w:t>Use the two article explanations here; no journal reading is required.</w:t>
        <w:br/>
        <w:t>1. Compare two expectations: people with strong liberal commitments reject violations more, or people generally favor candidates matching their own views.</w:t>
        <w:br/>
        <w:t>2. Use the candidate-study findings and one survey-design detail from Article A to assess those expectations.</w:t>
        <w:br/>
        <w:t>3. How would that change a survey or candidate comparison you propose? What remains untested? You will make a new prediction before the later record in the Sable case.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Your first explanation</w:t>
      </w:r>
    </w:p>
    <w:p>
      <w:pPr>
        <w:pStyle w:val="Heading2"/>
      </w:pPr>
      <w:r>
        <w:t>Your explanation</w:t>
      </w:r>
    </w:p>
    <w:p>
      <w:r>
        <w:t>Who acts, what do they do, and how could that produce the result? Separate details in the records from links you are proposing.</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What else could produce the same result? Explain what that account predicts and whether both explanations could contribute.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prediction</w:t>
      </w:r>
    </w:p>
    <w:p>
      <w:r>
        <w:t>Which next record or comparison could help you tell the two explanations apart? Say what you expect under each and what must be alike for the comparison to be fair.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Graph and evidence notes</w:t>
      </w:r>
    </w:p>
    <w:p>
      <w:r>
        <w:t>Read the graph or table. Before calculating, identify what is measured, who is counted and the dates. Keep what the records show separate from your explanation of why it happened.</w:t>
      </w:r>
    </w:p>
    <w:tbl>
      <w:tblPr>
        <w:tblW w:type="auto" w:w="0"/>
        <w:jc w:val="center"/>
        <w:tblLayout w:type="fixed"/>
        <w:tblLook w:firstColumn="1" w:firstRow="1" w:lastColumn="0" w:lastRow="0" w:noHBand="0" w:noVBand="1" w:val="04A0"/>
      </w:tblPr>
      <w:tblGrid>
        <w:gridCol w:w="3384"/>
        <w:gridCol w:w="5976"/>
      </w:tblGrid>
      <w:tr>
        <w:trPr>
          <w:tblHeader/>
        </w:trPr>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Element to identify</w:t>
            </w:r>
          </w:p>
        </w:tc>
        <w:tc>
          <w:tcPr>
            <w:tcW w:type="dxa" w:w="5112"/>
            <w:vAlign w:val="center"/>
            <w:tcBorders>
              <w:top w:val="single" w:sz="4" w:color="D9D9D9"/>
              <w:left w:val="single" w:sz="4" w:color="D9D9D9"/>
              <w:bottom w:val="single" w:sz="4" w:color="D9D9D9"/>
              <w:right w:val="single" w:sz="4" w:color="D9D9D9"/>
              <w:insideH w:val="single" w:sz="4" w:color="D9D9D9"/>
              <w:insideV w:val="single" w:sz="4" w:color="D9D9D9"/>
            </w:tcBorders>
            <w:shd w:fill="E6EDF5"/>
            <w:tcMar>
              <w:top w:w="100" w:type="dxa"/>
              <w:left w:w="100" w:type="dxa"/>
              <w:bottom w:w="100" w:type="dxa"/>
              <w:right w:w="100" w:type="dxa"/>
            </w:tcMar>
          </w:tcPr>
          <w:p>
            <w:pPr>
              <w:spacing w:after="60"/>
            </w:pPr>
            <w:r>
              <w:t>Your record</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Question and measured outcome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Who or what each record describes</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Dates or observation window</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Number counted and whole group for a percentage</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Weight or comparison group</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Axis label and unit</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Who is missing or included selectively</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FFFFF"/>
            <w:tcMar>
              <w:top w:w="100" w:type="dxa"/>
              <w:left w:w="100" w:type="dxa"/>
              <w:bottom w:w="100" w:type="dxa"/>
              <w:right w:w="100" w:type="dxa"/>
            </w:tcMar>
          </w:tcPr>
          <w:p>
            <w:pPr>
              <w:spacing w:after="60"/>
            </w:pPr>
            <w:r>
              <w:t xml:space="preserve"> </w:t>
            </w:r>
          </w:p>
        </w:tc>
      </w:tr>
      <w:tr>
        <w:tc>
          <w:tcPr>
            <w:tcW w:type="dxa" w:w="3384"/>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What must be alike for a fair comparison</w:t>
            </w:r>
          </w:p>
        </w:tc>
        <w:tc>
          <w:tcPr>
            <w:tcW w:type="dxa" w:w="5976"/>
            <w:vAlign w:val="center"/>
            <w:tcBorders>
              <w:top w:val="single" w:sz="4" w:color="D9D9D9"/>
              <w:left w:val="single" w:sz="4" w:color="D9D9D9"/>
              <w:bottom w:val="single" w:sz="4" w:color="D9D9D9"/>
              <w:right w:val="single" w:sz="4" w:color="D9D9D9"/>
              <w:insideH w:val="single" w:sz="4" w:color="D9D9D9"/>
              <w:insideV w:val="single" w:sz="4" w:color="D9D9D9"/>
            </w:tcBorders>
            <w:shd w:fill="F5F7FA"/>
            <w:tcMar>
              <w:top w:w="100" w:type="dxa"/>
              <w:left w:w="100" w:type="dxa"/>
              <w:bottom w:w="100" w:type="dxa"/>
              <w:right w:w="100" w:type="dxa"/>
            </w:tcMar>
          </w:tcPr>
          <w:p>
            <w:pPr>
              <w:spacing w:after="60"/>
            </w:pPr>
            <w:r>
              <w:t xml:space="preserve"> </w:t>
            </w:r>
          </w:p>
        </w:tc>
      </w:tr>
    </w:tbl>
    <w:p>
      <w:pPr>
        <w:pStyle w:val="Heading2"/>
      </w:pPr>
      <w:r>
        <w:t>Your calculation and labeled graph or table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the result means and what evidence you still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Your decision</w:t>
      </w:r>
    </w:p>
    <w:p>
      <w:r>
        <w:t>1. Complete the 12-slot survey workspace with the actual questions, context descriptions, response options and both candidate profiles.</w:t>
        <w:br/>
        <w:t>2. Explain which idea each question measures, any answer used twice, and an important detail or degree of certainty your limited survey leaves out.</w:t>
        <w:br/>
        <w:t>3. Check for questions asking two things at once. Keep support for democracy separate from satisfaction with the current government.</w:t>
        <w:br/>
        <w:t>4. In the Cedar/Doran interviews, ask people to explain the wording and why they answered as they did. What would you change? What further evidence is needed before fairly comparing the two settings?</w:t>
      </w:r>
    </w:p>
    <w:p>
      <w:pPr>
        <w:pStyle w:val="Heading2"/>
      </w:pPr>
      <w:r>
        <w:t>Your choice who can act and what it costs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Your reasons an alternative and when you would reconsider</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Try your explanation in a new case</w:t>
      </w:r>
    </w:p>
    <w:p>
      <w:r>
        <w:t>Complete these notes before opening the unfamiliar dossier later record. Work from the initial records you have received; do not invent a motive, consequence or missing datum.</w:t>
      </w:r>
    </w:p>
    <w:p>
      <w:pPr>
        <w:pStyle w:val="Heading2"/>
      </w:pPr>
      <w:r>
        <w:t>Mechanism</w:t>
      </w:r>
    </w:p>
    <w:p>
      <w:r>
        <w:t>Explain who acts, which rules or powers they use, and how that could produce the result in this new case. Use the relevant dates and protections.</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Another explanation for the same result</w:t>
      </w:r>
    </w:p>
    <w:p>
      <w:r>
        <w:t>Give another plausible explanation for that same result. Which step or timing would differ? What evidence would you need?</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Evidence that would distinguish the explanations</w:t>
      </w:r>
    </w:p>
    <w:p>
      <w:r>
        <w:t>Propose evidence that could distinguish your explanations. What would each lead you to expect? Name the people or records, dates, what must be comparable, one possible problem with selecting cases, and a right you must preserve.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r>
        <w:br w:type="page"/>
      </w:r>
    </w:p>
    <w:p>
      <w:pPr>
        <w:pStyle w:val="Heading1"/>
      </w:pPr>
      <w:r>
        <w:t>Revision and reflection</w:t>
      </w:r>
    </w:p>
    <w:p>
      <w:pPr>
        <w:pStyle w:val="Heading2"/>
      </w:pPr>
      <w:r>
        <w:t>Which earlier conclusion do you now keep narrow change or leave undecided and why</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does the evidence show and what is still only a possible consequence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What remains uncertain and which fair comparison could help you decide</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spacing w:after="160" w:line="240" w:lineRule="auto"/>
        <w:pBdr>
          <w:bottom w:val="single" w:sz="3" w:color="D9D9D9" w:space="1"/>
        </w:pBdr>
      </w:pPr>
      <w:r>
        <w:t xml:space="preserve"> </w:t>
      </w:r>
    </w:p>
    <w:p>
      <w:pPr>
        <w:pStyle w:val="Heading2"/>
      </w:pPr>
      <w:r>
        <w:t>Save and submit separately</w:t>
      </w:r>
    </w:p>
    <w:p>
      <w:r>
        <w:t>Use Print to save a readable PDF or use the text export, following your instructor's file requirement. Open the exported file and check the complete questions, all options and profiles, study table and final brief. Next, open the separate Canvas assignment and upload the requested file. The module's save, print and export actions do not submit your work to Canvas.</w:t>
      </w:r>
    </w:p>
    <w:p>
      <w:r>
        <w:t>Keep the progress JSON as an editable backup. A device save, an optional private online draft and a consented hosted-class snapshot are different records.</w:t>
      </w:r>
    </w:p>
    <w:sectPr w:rsidR="00FC693F" w:rsidRPr="0006063C" w:rsidSect="00034616">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drawing>
        <wp:inline xmlns:a="http://schemas.openxmlformats.org/drawingml/2006/main" xmlns:pic="http://schemas.openxmlformats.org/drawingml/2006/picture">
          <wp:extent cx="1005840" cy="304882"/>
          <wp:docPr id="1" name="Picture 1" descr="Frontiers Simulations exact monochrome logo"/>
          <wp:cNvGraphicFramePr>
            <a:graphicFrameLocks noChangeAspect="1"/>
          </wp:cNvGraphicFramePr>
          <a:graphic>
            <a:graphicData uri="http://schemas.openxmlformats.org/drawingml/2006/picture">
              <pic:pic>
                <pic:nvPicPr>
                  <pic:cNvPr id="0" name="logo-monochrome.png"/>
                  <pic:cNvPicPr/>
                </pic:nvPicPr>
                <pic:blipFill>
                  <a:blip r:embed="rId1"/>
                  <a:stretch>
                    <a:fillRect/>
                  </a:stretch>
                </pic:blipFill>
                <pic:spPr>
                  <a:xfrm>
                    <a:off x="0" y="0"/>
                    <a:ext cx="1005840" cy="304882"/>
                  </a:xfrm>
                  <a:prstGeom prst="rect"/>
                </pic:spPr>
              </pic:pic>
            </a:graphicData>
          </a:graphic>
        </wp:inline>
      </w:drawing>
    </w:r>
    <w:r>
      <w:rPr>
        <w:sz w:val="16"/>
      </w:rPr>
      <w:t xml:space="preserve">    Created by Yoav Duman    </w:t>
    </w:r>
    <w:r>
      <w:rPr>
        <w:sz w:val="16"/>
      </w:rPr>
      <w:drawing>
        <wp:inline xmlns:a="http://schemas.openxmlformats.org/drawingml/2006/main" xmlns:pic="http://schemas.openxmlformats.org/drawingml/2006/picture">
          <wp:extent cx="228600" cy="228600"/>
          <wp:docPr id="2" name="Picture 2" descr="Frontiers Simulations exact monogram"/>
          <wp:cNvGraphicFramePr>
            <a:graphicFrameLocks noChangeAspect="1"/>
          </wp:cNvGraphicFramePr>
          <a:graphic>
            <a:graphicData uri="http://schemas.openxmlformats.org/drawingml/2006/picture">
              <pic:pic>
                <pic:nvPicPr>
                  <pic:cNvPr id="0" name="mark.png"/>
                  <pic:cNvPicPr/>
                </pic:nvPicPr>
                <pic:blipFill>
                  <a:blip r:embed="rId2"/>
                  <a:stretch>
                    <a:fillRect/>
                  </a:stretch>
                </pic:blipFill>
                <pic:spPr>
                  <a:xfrm>
                    <a:off x="0" y="0"/>
                    <a:ext cx="228600" cy="228600"/>
                  </a:xfrm>
                  <a:prstGeom prst="rect"/>
                </pic:spPr>
              </pic:pic>
            </a:graphicData>
          </a:graphic>
        </wp:inline>
      </w:drawing>
    </w:r>
    <w:r>
      <w:rPr>
        <w:sz w:val="16"/>
      </w:rPr>
      <w:t xml:space="preserv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DejaVu Sans" w:hAnsi="DejaVu Sans"/>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76" w:lineRule="auto"/>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line="276" w:lineRule="auto"/>
      <w:outlineLvl w:val="1"/>
    </w:pPr>
    <w:rPr>
      <w:rFonts w:asciiTheme="majorHAnsi" w:eastAsiaTheme="majorEastAsia" w:hAnsiTheme="majorHAnsi" w:cstheme="majorBidi" w:ascii="DejaVu Sans" w:hAnsi="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160" w:line="276" w:lineRule="auto"/>
      <w:outlineLvl w:val="2"/>
    </w:pPr>
    <w:rPr>
      <w:rFonts w:asciiTheme="majorHAnsi" w:eastAsiaTheme="majorEastAsia" w:hAnsiTheme="majorHAnsi" w:cstheme="majorBidi" w:ascii="DejaVu Sans" w:hAnsi="DejaVu Sans"/>
      <w:b/>
      <w:bCs/>
      <w:color w:val="00000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76" w:lineRule="auto" w:before="0"/>
      <w:contextualSpacing/>
    </w:pPr>
    <w:rPr>
      <w:rFonts w:asciiTheme="majorHAnsi" w:eastAsiaTheme="majorEastAsia" w:hAnsiTheme="majorHAnsi" w:cstheme="majorBidi" w:ascii="DejaVu Sans" w:hAnsi="DejaVu San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76" w:lineRule="auto"/>
    </w:pPr>
    <w:rPr>
      <w:rFonts w:asciiTheme="majorHAnsi" w:eastAsiaTheme="majorEastAsia" w:hAnsiTheme="majorHAnsi" w:cstheme="majorBidi" w:ascii="DejaVu Sans" w:hAnsi="DejaVu Sans"/>
      <w:i/>
      <w:iCs/>
      <w:color w:val="000000"/>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Everyone Says Democracy Student Worksheet</dc:title>
  <dc:subject>Editable source evidence and revision notes</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