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65960" cy="595905"/>
            <wp:docPr id="1" name="Picture 1" descr="Frontiers Simulations exact logo"/>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965960" cy="595905"/>
                    </a:xfrm>
                    <a:prstGeom prst="rect"/>
                  </pic:spPr>
                </pic:pic>
              </a:graphicData>
            </a:graphic>
          </wp:inline>
        </w:drawing>
      </w:r>
    </w:p>
    <w:p>
      <w:pPr>
        <w:pStyle w:val="Title"/>
      </w:pPr>
      <w:r>
        <w:t>The Overloaded State Student Worksheet</w:t>
      </w:r>
    </w:p>
    <w:p>
      <w:r>
        <w:t>Created by Yoav Duman</w:t>
      </w:r>
    </w:p>
    <w:p>
      <w:r>
        <w:t>No advance reading is needed. Read the explanations inside the simulation, then use this worksheet for your study notes, evidence, calculations and decisions. Journal articles are optional. Continue in the player for later records and activities. Leave missing evidence visibly unknown.</w:t>
      </w:r>
    </w:p>
    <w:p>
      <w:r>
        <w:t>Name or group ____________________    Date ____________________</w:t>
      </w:r>
    </w:p>
    <w:p>
      <w:pPr>
        <w:pStyle w:val="Heading1"/>
      </w:pPr>
      <w:r>
        <w:t>Source A</w:t>
      </w:r>
    </w:p>
    <w:p>
      <w:r>
        <w:t>Use the Article A explanation here; no journal reading is required.</w:t>
        <w:br/>
        <w:t>1. What did the researchers compare, and how did they describe the work agencies face and their ability to deliver it?</w:t>
        <w:br/>
        <w:t>2. Explain how shared responsibility for resources and practical feedback from staff could connect policy promises with delivery.</w:t>
        <w:br/>
        <w:t>3. Name one finding and one limit. Use the research explanation, keeping Riverbend’s invented numbers separate.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Source B</w:t>
      </w:r>
    </w:p>
    <w:p>
      <w:r>
        <w:t>Use the Article B explanation here; no journal reading is required.</w:t>
        <w:br/>
        <w:t>1. Choose one process from Moynihan’s essay: repeated procedures or political pressure.</w:t>
        <w:br/>
        <w:t>2. Trace how it could change staff behavior or the information officials receive, and then affect public services.</w:t>
        <w:br/>
        <w:t>3. What evidence does the essay bring together? What does it leave uncertain, given that it is not a new experiment?</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1"/>
      </w:pPr>
      <w:r>
        <w:t>Comparison of the studies</w:t>
      </w:r>
    </w:p>
    <w:p>
      <w:r>
        <w:t>Use the two article explanations here; no journal reading is required.</w:t>
        <w:br/>
        <w:t>1. Choose one conclusion about public services that either reading alone might suggest.</w:t>
        <w:br/>
        <w:t>2. Use a specific feature of the comparison study and a process from the essay to improve that conclusion. Consider who gets credit, who does the work, and who can act on warnings.</w:t>
        <w:br/>
        <w:t>3. Separate what the research shows from a connection you would still need to test in the invented case.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first explanation</w:t>
      </w:r>
    </w:p>
    <w:p>
      <w:pPr>
        <w:pStyle w:val="Heading2"/>
      </w:pPr>
      <w:r>
        <w:t>Your explanation</w:t>
      </w:r>
    </w:p>
    <w:p>
      <w:r>
        <w:t>Who acts, what do they do, and how could that produce the result? Separate details in the records from links you are proposing.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What else could produce the same result? Explain what that account predicts and whether both explanations could contribute.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prediction</w:t>
      </w:r>
    </w:p>
    <w:p>
      <w:r>
        <w:t>Which next record or comparison could help you tell the two explanations apart? Say what you expect under each and what must be alike for the comparison to be fair.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Graph and evidence notes</w:t>
      </w:r>
    </w:p>
    <w:p>
      <w:r>
        <w:t>Read the graph or table. Before calculating, identify what is measured, who is counted and the dates. Keep what the records show separate from your explanation of why it happened.</w:t>
      </w:r>
    </w:p>
    <w:tbl>
      <w:tblPr>
        <w:tblW w:type="auto" w:w="0"/>
        <w:jc w:val="center"/>
        <w:tblLayout w:type="fixed"/>
        <w:tblLook w:firstColumn="1" w:firstRow="1" w:lastColumn="0" w:lastRow="0" w:noHBand="0" w:noVBand="1" w:val="04A0"/>
      </w:tblPr>
      <w:tblGrid>
        <w:gridCol w:w="3384"/>
        <w:gridCol w:w="5976"/>
      </w:tblGrid>
      <w:tr>
        <w:trPr>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Element to identify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Your record</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Question and measured outcome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Who or what each record describes</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Dates or observation window</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Number counted and whole group for a percentage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Weight or comparison group</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Axis label and unit</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Who is missing or included selectively</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What must be alike for a fair comparison</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bl>
    <w:p>
      <w:pPr>
        <w:pStyle w:val="Heading2"/>
      </w:pPr>
      <w:r>
        <w:t>Your calculation and labeled graph or table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the result means and what evidence you still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keepNext/>
      </w:pPr>
      <w:r>
        <w:t>Your decision</w:t>
      </w:r>
    </w:p>
    <w:p>
      <w:pPr>
        <w:keepLines/>
      </w:pPr>
      <w:r>
        <w:t>1. Choose one complete 120-hour package to start and one actual package to postpone. Keep the packages separate.</w:t>
        <w:br/>
        <w:t>2. Say who can authorize the work, who carries it out, when it starts and how you decide who receives service first. What do you give up by postponing the other package?</w:t>
        <w:br/>
        <w:t>3. Use the memo to give the strongest argument for the package you postpone, including its existing protections. Explain why your first choice still comes first.</w:t>
        <w:br/>
        <w:t>4. Do not assume that either package has already produced an effect.</w:t>
      </w:r>
    </w:p>
    <w:p>
      <w:pPr>
        <w:pStyle w:val="Heading2"/>
      </w:pPr>
      <w:r>
        <w:t>Your choice who can act and what it costs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reasons an alternative and when you would reconsider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Try your explanation in a new case</w:t>
      </w:r>
    </w:p>
    <w:p>
      <w:r>
        <w:t>Complete these notes before opening the unfamiliar dossier later record. Work from the initial records you have received; do not invent a motive, consequence or missing datum.</w:t>
      </w:r>
    </w:p>
    <w:p>
      <w:pPr>
        <w:pStyle w:val="Heading2"/>
      </w:pPr>
      <w:r>
        <w:t>Mechanism</w:t>
      </w:r>
    </w:p>
    <w:p>
      <w:r>
        <w:t>Explain who acts, which rules or powers they use, and how that could produce the result in this new case. Use the relevant dates and protections.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Give another plausible explanation for that same result. Which step or timing would differ? What evidence would you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Evidence that would distinguish the explanations</w:t>
      </w:r>
    </w:p>
    <w:p>
      <w:r>
        <w:t>Propose evidence that could distinguish your explanations. What would each lead you to expect? Name the people or records, dates, what must be comparable, one possible problem with selecting cases, and a right you must preserve.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Revision and reflection</w:t>
      </w:r>
    </w:p>
    <w:p>
      <w:pPr>
        <w:pStyle w:val="Heading2"/>
      </w:pPr>
      <w:r>
        <w:t>Which earlier conclusion do you now keep narrow change or leave undecided and why</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does the evidence show and what is still only a possible consequence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remains uncertain and which fair comparison could help you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Save and submit separately</w:t>
      </w:r>
    </w:p>
    <w:p>
      <w:r>
        <w:t>When your assigned work is complete, use Print to save a readable PDF or use the text export, as your instructor requests. Open that file and check the required ledgers, explanations and final brief. Then go to the separate Canvas assignment and upload the requested file. Saving or exporting inside the module does not submit an assignment to Canvas.</w:t>
      </w:r>
    </w:p>
    <w:p>
      <w:r>
        <w:t>Keep the progress JSON as an editable backup. A device save, an optional private online draft and a consented hosted-class snapshot are different records.</w:t>
      </w:r>
    </w:p>
    <w:sectPr w:rsidR="00FC693F" w:rsidRPr="0006063C" w:rsidSect="00034616">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drawing>
        <wp:inline xmlns:a="http://schemas.openxmlformats.org/drawingml/2006/main" xmlns:pic="http://schemas.openxmlformats.org/drawingml/2006/picture">
          <wp:extent cx="1005840" cy="304882"/>
          <wp:docPr id="1" name="Picture 1" descr="Frontiers Simulations exact monochrome logo"/>
          <wp:cNvGraphicFramePr>
            <a:graphicFrameLocks noChangeAspect="1"/>
          </wp:cNvGraphicFramePr>
          <a:graphic>
            <a:graphicData uri="http://schemas.openxmlformats.org/drawingml/2006/picture">
              <pic:pic>
                <pic:nvPicPr>
                  <pic:cNvPr id="0" name="logo-monochrome.png"/>
                  <pic:cNvPicPr/>
                </pic:nvPicPr>
                <pic:blipFill>
                  <a:blip r:embed="rId1"/>
                  <a:stretch>
                    <a:fillRect/>
                  </a:stretch>
                </pic:blipFill>
                <pic:spPr>
                  <a:xfrm>
                    <a:off x="0" y="0"/>
                    <a:ext cx="1005840" cy="304882"/>
                  </a:xfrm>
                  <a:prstGeom prst="rect"/>
                </pic:spPr>
              </pic:pic>
            </a:graphicData>
          </a:graphic>
        </wp:inline>
      </w:drawing>
    </w:r>
    <w:r>
      <w:rPr>
        <w:sz w:val="16"/>
      </w:rPr>
      <w:t xml:space="preserve">    Created by Yoav Duman    </w:t>
    </w:r>
    <w:r>
      <w:rPr>
        <w:sz w:val="16"/>
      </w:rPr>
      <w:drawing>
        <wp:inline xmlns:a="http://schemas.openxmlformats.org/drawingml/2006/main" xmlns:pic="http://schemas.openxmlformats.org/drawingml/2006/picture">
          <wp:extent cx="228600" cy="228600"/>
          <wp:docPr id="2" name="Picture 2" descr="Frontiers Simulations exact monogram"/>
          <wp:cNvGraphicFramePr>
            <a:graphicFrameLocks noChangeAspect="1"/>
          </wp:cNvGraphicFramePr>
          <a:graphic>
            <a:graphicData uri="http://schemas.openxmlformats.org/drawingml/2006/picture">
              <pic:pic>
                <pic:nvPicPr>
                  <pic:cNvPr id="0" name="mark.png"/>
                  <pic:cNvPicPr/>
                </pic:nvPicPr>
                <pic:blipFill>
                  <a:blip r:embed="rId2"/>
                  <a:stretch>
                    <a:fillRect/>
                  </a:stretch>
                </pic:blipFill>
                <pic:spPr>
                  <a:xfrm>
                    <a:off x="0" y="0"/>
                    <a:ext cx="228600" cy="228600"/>
                  </a:xfrm>
                  <a:prstGeom prst="rect"/>
                </pic:spPr>
              </pic:pic>
            </a:graphicData>
          </a:graphic>
        </wp:inline>
      </w:drawing>
    </w:r>
    <w:r>
      <w:rPr>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DejaVu Sans" w:hAnsi="DejaVu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76"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line="276" w:lineRule="auto"/>
      <w:outlineLvl w:val="1"/>
    </w:pPr>
    <w:rPr>
      <w:rFonts w:asciiTheme="majorHAnsi" w:eastAsiaTheme="majorEastAsia" w:hAnsiTheme="majorHAnsi" w:cstheme="majorBidi"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60" w:line="276" w:lineRule="auto"/>
      <w:outlineLvl w:val="2"/>
    </w:pPr>
    <w:rPr>
      <w:rFonts w:asciiTheme="majorHAnsi" w:eastAsiaTheme="majorEastAsia" w:hAnsiTheme="majorHAnsi" w:cstheme="majorBidi" w:ascii="DejaVu Sans" w:hAnsi="DejaVu Sans"/>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before="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6" w:lineRule="auto"/>
    </w:pPr>
    <w:rPr>
      <w:rFonts w:asciiTheme="majorHAnsi" w:eastAsiaTheme="majorEastAsia" w:hAnsiTheme="majorHAnsi" w:cstheme="majorBidi" w:ascii="DejaVu Sans" w:hAnsi="DejaVu Sans"/>
      <w:i/>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Overloaded State Student Worksheet</dc:title>
  <dc:subject>Editable source evidence and revision notes</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